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C4" w:rsidRDefault="004E60C4">
      <w:pPr>
        <w:rPr>
          <w:rFonts w:ascii="Tahoma" w:hAnsi="Tahoma"/>
          <w:sz w:val="20"/>
        </w:rPr>
      </w:pPr>
      <w:r>
        <w:rPr>
          <w:rFonts w:ascii="Tahoma" w:hAnsi="Tahoma"/>
          <w:b/>
          <w:bCs/>
        </w:rPr>
        <w:t xml:space="preserve">PEST Analysis Template </w:t>
      </w:r>
      <w:r>
        <w:rPr>
          <w:rFonts w:ascii="Tahoma" w:hAnsi="Tahoma"/>
          <w:sz w:val="20"/>
        </w:rPr>
        <w:t xml:space="preserve"> </w:t>
      </w:r>
    </w:p>
    <w:p w:rsidR="004E60C4" w:rsidRDefault="004E60C4">
      <w:pPr>
        <w:rPr>
          <w:rFonts w:ascii="Tahoma" w:eastAsia="Times New Roman" w:hAnsi="Tahoma"/>
          <w:sz w:val="6"/>
          <w:szCs w:val="6"/>
          <w:lang w:eastAsia="ar-SA"/>
        </w:rPr>
      </w:pPr>
    </w:p>
    <w:p w:rsidR="004E60C4" w:rsidRDefault="004E60C4">
      <w:pPr>
        <w:rPr>
          <w:rFonts w:ascii="Tahoma" w:eastAsia="Times New Roman" w:hAnsi="Tahoma"/>
          <w:sz w:val="20"/>
          <w:lang w:eastAsia="ar-SA"/>
        </w:rPr>
      </w:pPr>
      <w:r>
        <w:rPr>
          <w:rFonts w:ascii="Tahoma" w:eastAsia="Times New Roman" w:hAnsi="Tahoma"/>
          <w:sz w:val="20"/>
          <w:lang w:eastAsia="ar-SA"/>
        </w:rPr>
        <w:t xml:space="preserve">Situation being analysed: </w:t>
      </w:r>
      <w:r w:rsidR="00FE4495">
        <w:rPr>
          <w:rFonts w:ascii="Tahoma" w:eastAsia="Times New Roman" w:hAnsi="Tahoma"/>
          <w:sz w:val="20"/>
          <w:lang w:eastAsia="ar-SA"/>
        </w:rPr>
        <w:t>________________________________________________________________________________________________</w:t>
      </w:r>
    </w:p>
    <w:p w:rsidR="00FE4495" w:rsidRDefault="00FE4495">
      <w:pPr>
        <w:rPr>
          <w:rFonts w:ascii="Tahoma" w:eastAsia="Times New Roman" w:hAnsi="Tahoma"/>
          <w:sz w:val="20"/>
          <w:lang w:eastAsia="ar-SA"/>
        </w:rPr>
      </w:pPr>
    </w:p>
    <w:p w:rsidR="00FE4495" w:rsidRDefault="00FE4495">
      <w:pPr>
        <w:rPr>
          <w:rFonts w:ascii="Tahoma" w:eastAsia="Times New Roman" w:hAnsi="Tahoma"/>
          <w:sz w:val="6"/>
          <w:szCs w:val="6"/>
          <w:lang w:eastAsia="ar-SA"/>
        </w:rPr>
      </w:pPr>
    </w:p>
    <w:p w:rsidR="004E60C4" w:rsidRDefault="004E60C4">
      <w:pPr>
        <w:pStyle w:val="SmallStyle"/>
        <w:rPr>
          <w:sz w:val="20"/>
          <w:szCs w:val="32"/>
          <w:lang w:val="en-US" w:eastAsia="en-US" w:bidi="en-US"/>
        </w:rPr>
      </w:pPr>
      <w:r>
        <w:rPr>
          <w:sz w:val="20"/>
          <w:szCs w:val="32"/>
          <w:lang w:val="en-US" w:eastAsia="en-US" w:bidi="en-US"/>
        </w:rPr>
        <w:t xml:space="preserve">PEST analysis (political, economical, social, </w:t>
      </w:r>
      <w:r w:rsidR="00FE4495">
        <w:rPr>
          <w:sz w:val="20"/>
          <w:szCs w:val="32"/>
          <w:lang w:val="en-US" w:eastAsia="en-US" w:bidi="en-US"/>
        </w:rPr>
        <w:t>and technological</w:t>
      </w:r>
      <w:r>
        <w:rPr>
          <w:sz w:val="20"/>
          <w:szCs w:val="32"/>
          <w:lang w:val="en-US" w:eastAsia="en-US" w:bidi="en-US"/>
        </w:rPr>
        <w:t xml:space="preserve">) assesses a market, including competitors, from the standpoint of a particular proposition or a business. </w:t>
      </w:r>
    </w:p>
    <w:p w:rsidR="004E60C4" w:rsidRDefault="004E60C4" w:rsidP="004951FD">
      <w:pPr>
        <w:ind w:right="-551"/>
        <w:rPr>
          <w:rFonts w:ascii="Tahoma" w:eastAsia="Times New Roman" w:hAnsi="Tahoma"/>
          <w:sz w:val="20"/>
          <w:lang w:eastAsia="ar-SA"/>
        </w:rPr>
      </w:pPr>
    </w:p>
    <w:tbl>
      <w:tblPr>
        <w:tblW w:w="15552" w:type="dxa"/>
        <w:tblInd w:w="-485" w:type="dxa"/>
        <w:tblLayout w:type="fixed"/>
        <w:tblCellMar>
          <w:top w:w="55" w:type="dxa"/>
          <w:left w:w="55" w:type="dxa"/>
          <w:bottom w:w="55" w:type="dxa"/>
          <w:right w:w="55" w:type="dxa"/>
        </w:tblCellMar>
        <w:tblLook w:val="0000"/>
      </w:tblPr>
      <w:tblGrid>
        <w:gridCol w:w="3888"/>
        <w:gridCol w:w="3888"/>
        <w:gridCol w:w="3888"/>
        <w:gridCol w:w="3888"/>
      </w:tblGrid>
      <w:tr w:rsidR="004E60C4" w:rsidTr="004951FD">
        <w:trPr>
          <w:trHeight w:val="3589"/>
        </w:trPr>
        <w:tc>
          <w:tcPr>
            <w:tcW w:w="3888" w:type="dxa"/>
            <w:tcBorders>
              <w:top w:val="single" w:sz="1" w:space="0" w:color="000000"/>
              <w:left w:val="single" w:sz="1" w:space="0" w:color="000000"/>
              <w:bottom w:val="single" w:sz="1" w:space="0" w:color="000000"/>
            </w:tcBorders>
          </w:tcPr>
          <w:p w:rsidR="004951FD" w:rsidRPr="00FE4495" w:rsidRDefault="004951FD" w:rsidP="004951FD">
            <w:pPr>
              <w:pStyle w:val="SmallStyle"/>
              <w:ind w:left="125"/>
              <w:jc w:val="center"/>
              <w:rPr>
                <w:b/>
                <w:color w:val="C0504D"/>
                <w:sz w:val="20"/>
                <w:szCs w:val="20"/>
                <w:lang w:val="en-US" w:eastAsia="en-US" w:bidi="en-US"/>
              </w:rPr>
            </w:pPr>
            <w:r w:rsidRPr="00FE4495">
              <w:rPr>
                <w:b/>
                <w:color w:val="C0504D"/>
                <w:sz w:val="20"/>
                <w:szCs w:val="20"/>
                <w:lang w:val="en-US" w:eastAsia="en-US" w:bidi="en-US"/>
              </w:rPr>
              <w:t>Political</w:t>
            </w:r>
          </w:p>
          <w:p w:rsidR="004E60C4" w:rsidRPr="00FE4495" w:rsidRDefault="004E60C4" w:rsidP="004951FD">
            <w:pPr>
              <w:pStyle w:val="SmallStyle"/>
              <w:ind w:left="125"/>
              <w:rPr>
                <w:b/>
                <w:color w:val="C0504D"/>
                <w:sz w:val="20"/>
                <w:szCs w:val="20"/>
                <w:lang w:val="en-US" w:eastAsia="en-US" w:bidi="en-US"/>
              </w:rPr>
            </w:pPr>
          </w:p>
          <w:p w:rsidR="004E60C4" w:rsidRPr="00FE4495" w:rsidRDefault="004E60C4" w:rsidP="004951FD">
            <w:pPr>
              <w:pStyle w:val="SmallStyle"/>
              <w:ind w:left="125"/>
              <w:rPr>
                <w:b/>
                <w:color w:val="C0504D"/>
                <w:sz w:val="20"/>
                <w:szCs w:val="20"/>
                <w:lang w:val="en-US" w:eastAsia="en-US" w:bidi="en-US"/>
              </w:rPr>
            </w:pPr>
          </w:p>
          <w:p w:rsidR="004E60C4" w:rsidRPr="00FE4495" w:rsidRDefault="004E60C4" w:rsidP="004951FD">
            <w:pPr>
              <w:pStyle w:val="SmallStyle"/>
              <w:ind w:left="125"/>
              <w:rPr>
                <w:b/>
                <w:color w:val="C0504D"/>
                <w:sz w:val="20"/>
                <w:szCs w:val="20"/>
                <w:lang w:val="en-US" w:eastAsia="en-US" w:bidi="en-US"/>
              </w:rPr>
            </w:pPr>
          </w:p>
          <w:p w:rsidR="004E60C4" w:rsidRPr="00FE4495" w:rsidRDefault="004E60C4" w:rsidP="004951FD">
            <w:pPr>
              <w:pStyle w:val="SmallStyle"/>
              <w:ind w:left="125"/>
              <w:rPr>
                <w:b/>
                <w:color w:val="C0504D"/>
                <w:sz w:val="20"/>
                <w:szCs w:val="20"/>
              </w:rPr>
            </w:pPr>
          </w:p>
        </w:tc>
        <w:tc>
          <w:tcPr>
            <w:tcW w:w="3888" w:type="dxa"/>
            <w:tcBorders>
              <w:top w:val="single" w:sz="1" w:space="0" w:color="000000"/>
              <w:left w:val="single" w:sz="1" w:space="0" w:color="000000"/>
              <w:bottom w:val="single" w:sz="1" w:space="0" w:color="000000"/>
            </w:tcBorders>
          </w:tcPr>
          <w:p w:rsidR="004E60C4" w:rsidRPr="00FE4495" w:rsidRDefault="004951FD" w:rsidP="004951FD">
            <w:pPr>
              <w:pStyle w:val="TableContents"/>
              <w:snapToGrid w:val="0"/>
              <w:ind w:left="125"/>
              <w:jc w:val="center"/>
              <w:rPr>
                <w:rFonts w:ascii="Tahoma" w:eastAsia="Times New Roman" w:hAnsi="Tahoma"/>
                <w:b/>
                <w:bCs/>
                <w:color w:val="C0504D"/>
                <w:sz w:val="20"/>
                <w:szCs w:val="20"/>
              </w:rPr>
            </w:pPr>
            <w:r w:rsidRPr="00FE4495">
              <w:rPr>
                <w:rFonts w:ascii="Tahoma" w:eastAsia="Times New Roman" w:hAnsi="Tahoma"/>
                <w:b/>
                <w:bCs/>
                <w:color w:val="C0504D"/>
                <w:sz w:val="20"/>
                <w:szCs w:val="20"/>
              </w:rPr>
              <w:t>Economic</w:t>
            </w:r>
          </w:p>
        </w:tc>
        <w:tc>
          <w:tcPr>
            <w:tcW w:w="3888" w:type="dxa"/>
            <w:tcBorders>
              <w:top w:val="single" w:sz="1" w:space="0" w:color="000000"/>
              <w:left w:val="single" w:sz="1" w:space="0" w:color="000000"/>
              <w:bottom w:val="single" w:sz="1" w:space="0" w:color="000000"/>
            </w:tcBorders>
          </w:tcPr>
          <w:p w:rsidR="004E60C4" w:rsidRPr="00FE4495" w:rsidRDefault="004951FD" w:rsidP="004951FD">
            <w:pPr>
              <w:pStyle w:val="TableContents"/>
              <w:snapToGrid w:val="0"/>
              <w:ind w:left="125"/>
              <w:jc w:val="center"/>
              <w:rPr>
                <w:rFonts w:ascii="Tahoma" w:eastAsia="Times New Roman" w:hAnsi="Tahoma"/>
                <w:b/>
                <w:bCs/>
                <w:color w:val="C0504D"/>
                <w:sz w:val="20"/>
                <w:szCs w:val="20"/>
              </w:rPr>
            </w:pPr>
            <w:r w:rsidRPr="00FE4495">
              <w:rPr>
                <w:rFonts w:ascii="Tahoma" w:eastAsia="Times New Roman" w:hAnsi="Tahoma"/>
                <w:b/>
                <w:bCs/>
                <w:color w:val="C0504D"/>
                <w:sz w:val="20"/>
                <w:szCs w:val="20"/>
              </w:rPr>
              <w:t>Social</w:t>
            </w:r>
          </w:p>
        </w:tc>
        <w:tc>
          <w:tcPr>
            <w:tcW w:w="3888" w:type="dxa"/>
            <w:tcBorders>
              <w:top w:val="single" w:sz="1" w:space="0" w:color="000000"/>
              <w:left w:val="single" w:sz="1" w:space="0" w:color="000000"/>
              <w:bottom w:val="single" w:sz="1" w:space="0" w:color="000000"/>
              <w:right w:val="single" w:sz="1" w:space="0" w:color="000000"/>
            </w:tcBorders>
          </w:tcPr>
          <w:p w:rsidR="004E60C4" w:rsidRPr="00FE4495" w:rsidRDefault="004951FD" w:rsidP="004951FD">
            <w:pPr>
              <w:pStyle w:val="SmallStyle"/>
              <w:ind w:left="125"/>
              <w:jc w:val="center"/>
              <w:rPr>
                <w:b/>
                <w:color w:val="C0504D"/>
                <w:sz w:val="20"/>
                <w:szCs w:val="20"/>
                <w:lang w:val="en-US" w:eastAsia="en-US" w:bidi="en-US"/>
              </w:rPr>
            </w:pPr>
            <w:r w:rsidRPr="00FE4495">
              <w:rPr>
                <w:b/>
                <w:color w:val="C0504D"/>
                <w:sz w:val="20"/>
                <w:szCs w:val="20"/>
                <w:lang w:val="en-US" w:eastAsia="en-US" w:bidi="en-US"/>
              </w:rPr>
              <w:t>Technological</w:t>
            </w:r>
          </w:p>
          <w:p w:rsidR="004E60C4" w:rsidRPr="00FE4495" w:rsidRDefault="004E60C4" w:rsidP="004951FD">
            <w:pPr>
              <w:pStyle w:val="SmallStyle"/>
              <w:ind w:left="125"/>
              <w:rPr>
                <w:b/>
                <w:color w:val="C0504D"/>
                <w:sz w:val="20"/>
                <w:szCs w:val="20"/>
                <w:lang w:val="en-US" w:eastAsia="en-US" w:bidi="en-US"/>
              </w:rPr>
            </w:pPr>
          </w:p>
        </w:tc>
      </w:tr>
      <w:tr w:rsidR="004E60C4" w:rsidTr="004951FD">
        <w:tc>
          <w:tcPr>
            <w:tcW w:w="3888" w:type="dxa"/>
            <w:tcBorders>
              <w:left w:val="single" w:sz="1" w:space="0" w:color="000000"/>
              <w:bottom w:val="single" w:sz="1" w:space="0" w:color="000000"/>
            </w:tcBorders>
          </w:tcPr>
          <w:p w:rsidR="004E60C4" w:rsidRPr="004951FD" w:rsidRDefault="004951FD" w:rsidP="004951FD">
            <w:pPr>
              <w:pStyle w:val="Heading2"/>
              <w:numPr>
                <w:ilvl w:val="0"/>
                <w:numId w:val="0"/>
              </w:numPr>
              <w:tabs>
                <w:tab w:val="left" w:pos="0"/>
              </w:tabs>
              <w:snapToGrid w:val="0"/>
              <w:spacing w:before="0" w:after="0"/>
              <w:ind w:left="125"/>
              <w:jc w:val="center"/>
              <w:rPr>
                <w:rFonts w:ascii="Tahoma" w:eastAsia="Times New Roman" w:hAnsi="Tahoma"/>
                <w:color w:val="17365D"/>
                <w:sz w:val="20"/>
                <w:szCs w:val="20"/>
                <w:lang w:eastAsia="ar-SA"/>
              </w:rPr>
            </w:pPr>
            <w:r w:rsidRPr="004951FD">
              <w:rPr>
                <w:rFonts w:ascii="Tahoma" w:eastAsia="Times New Roman" w:hAnsi="Tahoma"/>
                <w:color w:val="17365D"/>
                <w:sz w:val="20"/>
                <w:szCs w:val="20"/>
                <w:lang w:eastAsia="ar-SA"/>
              </w:rPr>
              <w:t>Criteria Examples</w:t>
            </w:r>
          </w:p>
          <w:p w:rsidR="004E60C4" w:rsidRDefault="004951FD" w:rsidP="004951FD">
            <w:pPr>
              <w:pStyle w:val="SmallStyle"/>
              <w:ind w:left="125"/>
              <w:rPr>
                <w:szCs w:val="32"/>
                <w:lang w:val="en-US" w:eastAsia="en-US" w:bidi="en-US"/>
              </w:rPr>
            </w:pPr>
            <w:r>
              <w:rPr>
                <w:szCs w:val="32"/>
                <w:lang w:val="en-US" w:eastAsia="en-US" w:bidi="en-US"/>
              </w:rPr>
              <w:t xml:space="preserve"> </w:t>
            </w:r>
          </w:p>
          <w:p w:rsidR="004E60C4" w:rsidRPr="004951FD" w:rsidRDefault="004951FD" w:rsidP="004951FD">
            <w:pPr>
              <w:pStyle w:val="SmallStyle"/>
              <w:numPr>
                <w:ilvl w:val="0"/>
                <w:numId w:val="2"/>
              </w:numPr>
              <w:rPr>
                <w:sz w:val="22"/>
                <w:szCs w:val="22"/>
                <w:lang w:val="en-US" w:eastAsia="en-US" w:bidi="en-US"/>
              </w:rPr>
            </w:pPr>
            <w:r w:rsidRPr="004951FD">
              <w:rPr>
                <w:sz w:val="22"/>
                <w:szCs w:val="22"/>
                <w:lang w:val="en-US" w:eastAsia="en-US" w:bidi="en-US"/>
              </w:rPr>
              <w:t>Environmental regulations and protection</w:t>
            </w:r>
          </w:p>
          <w:p w:rsidR="004951FD" w:rsidRPr="004951FD" w:rsidRDefault="004951FD" w:rsidP="004951FD">
            <w:pPr>
              <w:pStyle w:val="SmallStyle"/>
              <w:numPr>
                <w:ilvl w:val="0"/>
                <w:numId w:val="2"/>
              </w:numPr>
              <w:rPr>
                <w:sz w:val="22"/>
                <w:szCs w:val="22"/>
                <w:lang w:val="en-US" w:eastAsia="en-US" w:bidi="en-US"/>
              </w:rPr>
            </w:pPr>
            <w:r w:rsidRPr="004951FD">
              <w:rPr>
                <w:sz w:val="22"/>
                <w:szCs w:val="22"/>
                <w:lang w:val="en-US" w:eastAsia="en-US" w:bidi="en-US"/>
              </w:rPr>
              <w:t>Tax policies</w:t>
            </w:r>
          </w:p>
          <w:p w:rsidR="004951FD" w:rsidRPr="004951FD" w:rsidRDefault="004951FD" w:rsidP="004951FD">
            <w:pPr>
              <w:pStyle w:val="SmallStyle"/>
              <w:numPr>
                <w:ilvl w:val="0"/>
                <w:numId w:val="2"/>
              </w:numPr>
              <w:rPr>
                <w:sz w:val="22"/>
                <w:szCs w:val="22"/>
                <w:lang w:val="en-US" w:eastAsia="en-US" w:bidi="en-US"/>
              </w:rPr>
            </w:pPr>
            <w:r w:rsidRPr="004951FD">
              <w:rPr>
                <w:sz w:val="22"/>
                <w:szCs w:val="22"/>
                <w:lang w:val="en-US" w:eastAsia="en-US" w:bidi="en-US"/>
              </w:rPr>
              <w:t>International trade regulations and restrictions</w:t>
            </w:r>
          </w:p>
          <w:p w:rsidR="004951FD" w:rsidRPr="004951FD" w:rsidRDefault="004951FD" w:rsidP="004951FD">
            <w:pPr>
              <w:pStyle w:val="SmallStyle"/>
              <w:numPr>
                <w:ilvl w:val="0"/>
                <w:numId w:val="2"/>
              </w:numPr>
              <w:rPr>
                <w:sz w:val="22"/>
                <w:szCs w:val="22"/>
                <w:lang w:val="en-US" w:eastAsia="en-US" w:bidi="en-US"/>
              </w:rPr>
            </w:pPr>
            <w:r w:rsidRPr="004951FD">
              <w:rPr>
                <w:sz w:val="22"/>
                <w:szCs w:val="22"/>
                <w:lang w:val="en-US" w:eastAsia="en-US" w:bidi="en-US"/>
              </w:rPr>
              <w:t xml:space="preserve">Contract enforcement law </w:t>
            </w:r>
          </w:p>
          <w:p w:rsidR="004951FD" w:rsidRPr="004951FD" w:rsidRDefault="004951FD" w:rsidP="004951FD">
            <w:pPr>
              <w:pStyle w:val="SmallStyle"/>
              <w:numPr>
                <w:ilvl w:val="0"/>
                <w:numId w:val="2"/>
              </w:numPr>
              <w:rPr>
                <w:sz w:val="22"/>
                <w:szCs w:val="22"/>
                <w:lang w:val="en-US" w:eastAsia="en-US" w:bidi="en-US"/>
              </w:rPr>
            </w:pPr>
            <w:r w:rsidRPr="004951FD">
              <w:rPr>
                <w:sz w:val="22"/>
                <w:szCs w:val="22"/>
                <w:lang w:val="en-US" w:eastAsia="en-US" w:bidi="en-US"/>
              </w:rPr>
              <w:t>Consumer Protection</w:t>
            </w:r>
          </w:p>
          <w:p w:rsidR="004951FD" w:rsidRPr="004951FD" w:rsidRDefault="004951FD" w:rsidP="004951FD">
            <w:pPr>
              <w:pStyle w:val="SmallStyle"/>
              <w:numPr>
                <w:ilvl w:val="0"/>
                <w:numId w:val="2"/>
              </w:numPr>
              <w:rPr>
                <w:sz w:val="22"/>
                <w:szCs w:val="22"/>
                <w:lang w:val="en-US" w:eastAsia="en-US" w:bidi="en-US"/>
              </w:rPr>
            </w:pPr>
            <w:r w:rsidRPr="004951FD">
              <w:rPr>
                <w:sz w:val="22"/>
                <w:szCs w:val="22"/>
                <w:lang w:val="en-US" w:eastAsia="en-US" w:bidi="en-US"/>
              </w:rPr>
              <w:t>Employment laws</w:t>
            </w:r>
          </w:p>
          <w:p w:rsidR="004951FD" w:rsidRPr="004951FD" w:rsidRDefault="004951FD" w:rsidP="004951FD">
            <w:pPr>
              <w:pStyle w:val="SmallStyle"/>
              <w:numPr>
                <w:ilvl w:val="0"/>
                <w:numId w:val="2"/>
              </w:numPr>
              <w:rPr>
                <w:sz w:val="22"/>
                <w:szCs w:val="22"/>
                <w:lang w:val="en-US" w:eastAsia="en-US" w:bidi="en-US"/>
              </w:rPr>
            </w:pPr>
            <w:r w:rsidRPr="004951FD">
              <w:rPr>
                <w:sz w:val="22"/>
                <w:szCs w:val="22"/>
                <w:lang w:val="en-US" w:eastAsia="en-US" w:bidi="en-US"/>
              </w:rPr>
              <w:t>Government organization / attitude</w:t>
            </w:r>
          </w:p>
          <w:p w:rsidR="004951FD" w:rsidRPr="004951FD" w:rsidRDefault="004951FD" w:rsidP="004951FD">
            <w:pPr>
              <w:pStyle w:val="SmallStyle"/>
              <w:numPr>
                <w:ilvl w:val="0"/>
                <w:numId w:val="2"/>
              </w:numPr>
              <w:rPr>
                <w:sz w:val="22"/>
                <w:szCs w:val="22"/>
                <w:lang w:val="en-US" w:eastAsia="en-US" w:bidi="en-US"/>
              </w:rPr>
            </w:pPr>
            <w:r w:rsidRPr="004951FD">
              <w:rPr>
                <w:sz w:val="22"/>
                <w:szCs w:val="22"/>
                <w:lang w:val="en-US" w:eastAsia="en-US" w:bidi="en-US"/>
              </w:rPr>
              <w:t>Competition regulation</w:t>
            </w:r>
          </w:p>
          <w:p w:rsidR="004951FD" w:rsidRPr="004951FD" w:rsidRDefault="004951FD" w:rsidP="004951FD">
            <w:pPr>
              <w:pStyle w:val="SmallStyle"/>
              <w:numPr>
                <w:ilvl w:val="0"/>
                <w:numId w:val="2"/>
              </w:numPr>
              <w:rPr>
                <w:sz w:val="22"/>
                <w:szCs w:val="22"/>
                <w:lang w:val="en-US" w:eastAsia="en-US" w:bidi="en-US"/>
              </w:rPr>
            </w:pPr>
            <w:r w:rsidRPr="004951FD">
              <w:rPr>
                <w:sz w:val="22"/>
                <w:szCs w:val="22"/>
                <w:lang w:val="en-US" w:eastAsia="en-US" w:bidi="en-US"/>
              </w:rPr>
              <w:t>Political stability</w:t>
            </w:r>
          </w:p>
          <w:p w:rsidR="004E60C4" w:rsidRDefault="004951FD" w:rsidP="004951FD">
            <w:pPr>
              <w:pStyle w:val="SmallStyle"/>
              <w:numPr>
                <w:ilvl w:val="0"/>
                <w:numId w:val="2"/>
              </w:numPr>
            </w:pPr>
            <w:r w:rsidRPr="004951FD">
              <w:rPr>
                <w:sz w:val="22"/>
                <w:szCs w:val="22"/>
                <w:lang w:val="en-US" w:eastAsia="en-US" w:bidi="en-US"/>
              </w:rPr>
              <w:t>Safety regulations</w:t>
            </w:r>
          </w:p>
        </w:tc>
        <w:tc>
          <w:tcPr>
            <w:tcW w:w="3888" w:type="dxa"/>
            <w:tcBorders>
              <w:left w:val="single" w:sz="1" w:space="0" w:color="000000"/>
              <w:bottom w:val="single" w:sz="1" w:space="0" w:color="000000"/>
            </w:tcBorders>
          </w:tcPr>
          <w:p w:rsidR="004951FD" w:rsidRPr="004951FD" w:rsidRDefault="004951FD" w:rsidP="004951FD">
            <w:pPr>
              <w:pStyle w:val="Heading2"/>
              <w:numPr>
                <w:ilvl w:val="0"/>
                <w:numId w:val="0"/>
              </w:numPr>
              <w:tabs>
                <w:tab w:val="left" w:pos="0"/>
              </w:tabs>
              <w:snapToGrid w:val="0"/>
              <w:spacing w:before="0" w:after="0"/>
              <w:ind w:left="125"/>
              <w:jc w:val="center"/>
              <w:rPr>
                <w:rFonts w:ascii="Tahoma" w:eastAsia="Times New Roman" w:hAnsi="Tahoma"/>
                <w:color w:val="17365D"/>
                <w:sz w:val="20"/>
                <w:szCs w:val="20"/>
                <w:lang w:eastAsia="ar-SA"/>
              </w:rPr>
            </w:pPr>
            <w:r w:rsidRPr="004951FD">
              <w:rPr>
                <w:rFonts w:ascii="Tahoma" w:eastAsia="Times New Roman" w:hAnsi="Tahoma"/>
                <w:color w:val="17365D"/>
                <w:sz w:val="20"/>
                <w:szCs w:val="20"/>
                <w:lang w:eastAsia="ar-SA"/>
              </w:rPr>
              <w:t>Criteria Examples</w:t>
            </w:r>
          </w:p>
          <w:p w:rsidR="004E60C4" w:rsidRDefault="004E60C4" w:rsidP="004951FD">
            <w:pPr>
              <w:pStyle w:val="TableContents"/>
              <w:snapToGrid w:val="0"/>
              <w:ind w:left="125"/>
              <w:rPr>
                <w:rFonts w:ascii="Tahoma" w:eastAsia="Times New Roman" w:hAnsi="Tahoma"/>
                <w:b/>
                <w:bCs/>
                <w:color w:val="FF0000"/>
                <w:sz w:val="16"/>
                <w:szCs w:val="16"/>
              </w:rPr>
            </w:pPr>
          </w:p>
          <w:p w:rsidR="00FE4495" w:rsidRPr="00FE4495" w:rsidRDefault="004951FD" w:rsidP="00FE4495">
            <w:pPr>
              <w:pStyle w:val="SmallStyle"/>
              <w:numPr>
                <w:ilvl w:val="0"/>
                <w:numId w:val="2"/>
              </w:numPr>
              <w:rPr>
                <w:b/>
                <w:bCs/>
                <w:color w:val="FF0000"/>
                <w:szCs w:val="16"/>
              </w:rPr>
            </w:pPr>
            <w:r w:rsidRPr="004951FD">
              <w:rPr>
                <w:sz w:val="22"/>
                <w:szCs w:val="22"/>
                <w:lang w:val="en-US" w:eastAsia="en-US" w:bidi="en-US"/>
              </w:rPr>
              <w:t>E</w:t>
            </w:r>
            <w:r w:rsidR="00FE4495">
              <w:rPr>
                <w:sz w:val="22"/>
                <w:szCs w:val="22"/>
                <w:lang w:val="en-US" w:eastAsia="en-US" w:bidi="en-US"/>
              </w:rPr>
              <w:t>conomic growth</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Interest rates &amp; monetary policies</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Government spending</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Unemployment policy</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Taxation</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Inflation rates</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Stage of the business cycle</w:t>
            </w:r>
          </w:p>
          <w:p w:rsidR="00FE4495" w:rsidRDefault="00FE4495" w:rsidP="00FE4495">
            <w:pPr>
              <w:pStyle w:val="SmallStyle"/>
              <w:numPr>
                <w:ilvl w:val="0"/>
                <w:numId w:val="2"/>
              </w:numPr>
              <w:rPr>
                <w:b/>
                <w:bCs/>
                <w:color w:val="FF0000"/>
                <w:szCs w:val="16"/>
              </w:rPr>
            </w:pPr>
            <w:r>
              <w:rPr>
                <w:sz w:val="22"/>
                <w:szCs w:val="22"/>
                <w:lang w:val="en-US" w:eastAsia="en-US" w:bidi="en-US"/>
              </w:rPr>
              <w:t>Consumer confidence</w:t>
            </w:r>
          </w:p>
          <w:p w:rsidR="004951FD" w:rsidRDefault="004951FD" w:rsidP="004951FD">
            <w:pPr>
              <w:pStyle w:val="TableContents"/>
              <w:snapToGrid w:val="0"/>
              <w:ind w:left="125"/>
              <w:rPr>
                <w:rFonts w:ascii="Tahoma" w:eastAsia="Times New Roman" w:hAnsi="Tahoma"/>
                <w:b/>
                <w:bCs/>
                <w:color w:val="FF0000"/>
                <w:sz w:val="16"/>
                <w:szCs w:val="16"/>
              </w:rPr>
            </w:pPr>
          </w:p>
        </w:tc>
        <w:tc>
          <w:tcPr>
            <w:tcW w:w="3888" w:type="dxa"/>
            <w:tcBorders>
              <w:left w:val="single" w:sz="1" w:space="0" w:color="000000"/>
              <w:bottom w:val="single" w:sz="1" w:space="0" w:color="000000"/>
            </w:tcBorders>
          </w:tcPr>
          <w:p w:rsidR="004951FD" w:rsidRPr="004951FD" w:rsidRDefault="004951FD" w:rsidP="004951FD">
            <w:pPr>
              <w:pStyle w:val="Heading2"/>
              <w:numPr>
                <w:ilvl w:val="0"/>
                <w:numId w:val="0"/>
              </w:numPr>
              <w:tabs>
                <w:tab w:val="left" w:pos="0"/>
              </w:tabs>
              <w:snapToGrid w:val="0"/>
              <w:spacing w:before="0" w:after="0"/>
              <w:ind w:left="125"/>
              <w:jc w:val="center"/>
              <w:rPr>
                <w:rFonts w:ascii="Tahoma" w:eastAsia="Times New Roman" w:hAnsi="Tahoma"/>
                <w:color w:val="17365D"/>
                <w:sz w:val="20"/>
                <w:szCs w:val="20"/>
                <w:lang w:eastAsia="ar-SA"/>
              </w:rPr>
            </w:pPr>
            <w:r w:rsidRPr="004951FD">
              <w:rPr>
                <w:rFonts w:ascii="Tahoma" w:eastAsia="Times New Roman" w:hAnsi="Tahoma"/>
                <w:color w:val="17365D"/>
                <w:sz w:val="20"/>
                <w:szCs w:val="20"/>
                <w:lang w:eastAsia="ar-SA"/>
              </w:rPr>
              <w:t>Criteria Examples</w:t>
            </w:r>
          </w:p>
          <w:p w:rsidR="004E60C4" w:rsidRDefault="004E60C4" w:rsidP="004951FD">
            <w:pPr>
              <w:pStyle w:val="TableContents"/>
              <w:snapToGrid w:val="0"/>
              <w:ind w:left="125"/>
              <w:rPr>
                <w:rFonts w:ascii="Tahoma" w:eastAsia="Times New Roman" w:hAnsi="Tahoma"/>
                <w:b/>
                <w:bCs/>
                <w:color w:val="FF0000"/>
                <w:sz w:val="16"/>
                <w:szCs w:val="16"/>
              </w:rPr>
            </w:pPr>
          </w:p>
          <w:p w:rsidR="00FE4495" w:rsidRPr="00FE4495" w:rsidRDefault="00FE4495" w:rsidP="00FE4495">
            <w:pPr>
              <w:pStyle w:val="SmallStyle"/>
              <w:numPr>
                <w:ilvl w:val="0"/>
                <w:numId w:val="2"/>
              </w:numPr>
              <w:rPr>
                <w:b/>
                <w:bCs/>
                <w:color w:val="FF0000"/>
                <w:szCs w:val="16"/>
              </w:rPr>
            </w:pPr>
            <w:r>
              <w:rPr>
                <w:sz w:val="22"/>
                <w:szCs w:val="22"/>
                <w:lang w:val="en-US" w:eastAsia="en-US" w:bidi="en-US"/>
              </w:rPr>
              <w:t>Income distribution</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Demographics, population growth rates</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Age distribution</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Labor / social mobility</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Lifestyle changes</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Work / career and leisure attitudes</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Entrepreneurial spirit</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Education</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Fashion, hypes</w:t>
            </w:r>
          </w:p>
          <w:p w:rsidR="00FE4495" w:rsidRPr="00FE4495" w:rsidRDefault="00FE4495" w:rsidP="00FE4495">
            <w:pPr>
              <w:pStyle w:val="SmallStyle"/>
              <w:numPr>
                <w:ilvl w:val="0"/>
                <w:numId w:val="2"/>
              </w:numPr>
              <w:rPr>
                <w:b/>
                <w:bCs/>
                <w:color w:val="FF0000"/>
                <w:szCs w:val="16"/>
              </w:rPr>
            </w:pPr>
            <w:r>
              <w:rPr>
                <w:sz w:val="22"/>
                <w:szCs w:val="22"/>
                <w:lang w:val="en-US" w:eastAsia="en-US" w:bidi="en-US"/>
              </w:rPr>
              <w:t>Health consciousness &amp; welfare, feelings on safety</w:t>
            </w:r>
          </w:p>
          <w:p w:rsidR="00FE4495" w:rsidRDefault="00FE4495" w:rsidP="00FE4495">
            <w:pPr>
              <w:pStyle w:val="SmallStyle"/>
              <w:numPr>
                <w:ilvl w:val="0"/>
                <w:numId w:val="2"/>
              </w:numPr>
              <w:rPr>
                <w:b/>
                <w:bCs/>
                <w:color w:val="FF0000"/>
                <w:szCs w:val="16"/>
              </w:rPr>
            </w:pPr>
            <w:r>
              <w:rPr>
                <w:sz w:val="22"/>
                <w:szCs w:val="22"/>
                <w:lang w:val="en-US" w:eastAsia="en-US" w:bidi="en-US"/>
              </w:rPr>
              <w:t>Living conditions</w:t>
            </w:r>
          </w:p>
          <w:p w:rsidR="004951FD" w:rsidRDefault="004951FD" w:rsidP="004951FD">
            <w:pPr>
              <w:pStyle w:val="TableContents"/>
              <w:snapToGrid w:val="0"/>
              <w:ind w:left="125"/>
              <w:rPr>
                <w:rFonts w:ascii="Tahoma" w:eastAsia="Times New Roman" w:hAnsi="Tahoma"/>
                <w:b/>
                <w:bCs/>
                <w:color w:val="FF0000"/>
                <w:sz w:val="16"/>
                <w:szCs w:val="16"/>
              </w:rPr>
            </w:pPr>
          </w:p>
        </w:tc>
        <w:tc>
          <w:tcPr>
            <w:tcW w:w="3888" w:type="dxa"/>
            <w:tcBorders>
              <w:left w:val="single" w:sz="1" w:space="0" w:color="000000"/>
              <w:bottom w:val="single" w:sz="1" w:space="0" w:color="000000"/>
              <w:right w:val="single" w:sz="1" w:space="0" w:color="000000"/>
            </w:tcBorders>
          </w:tcPr>
          <w:p w:rsidR="004951FD" w:rsidRPr="004951FD" w:rsidRDefault="004951FD" w:rsidP="004951FD">
            <w:pPr>
              <w:pStyle w:val="Heading2"/>
              <w:numPr>
                <w:ilvl w:val="0"/>
                <w:numId w:val="0"/>
              </w:numPr>
              <w:tabs>
                <w:tab w:val="left" w:pos="0"/>
              </w:tabs>
              <w:snapToGrid w:val="0"/>
              <w:spacing w:before="0" w:after="0"/>
              <w:ind w:left="125"/>
              <w:jc w:val="center"/>
              <w:rPr>
                <w:rFonts w:ascii="Tahoma" w:eastAsia="Times New Roman" w:hAnsi="Tahoma"/>
                <w:color w:val="17365D"/>
                <w:sz w:val="20"/>
                <w:szCs w:val="20"/>
                <w:lang w:eastAsia="ar-SA"/>
              </w:rPr>
            </w:pPr>
            <w:r w:rsidRPr="004951FD">
              <w:rPr>
                <w:rFonts w:ascii="Tahoma" w:eastAsia="Times New Roman" w:hAnsi="Tahoma"/>
                <w:color w:val="17365D"/>
                <w:sz w:val="20"/>
                <w:szCs w:val="20"/>
                <w:lang w:eastAsia="ar-SA"/>
              </w:rPr>
              <w:t>Criteria Examples</w:t>
            </w:r>
          </w:p>
          <w:p w:rsidR="004E60C4" w:rsidRDefault="004E60C4" w:rsidP="004951FD">
            <w:pPr>
              <w:pStyle w:val="Heading2"/>
              <w:tabs>
                <w:tab w:val="left" w:pos="0"/>
              </w:tabs>
              <w:spacing w:before="0" w:after="0"/>
              <w:ind w:left="125"/>
              <w:rPr>
                <w:rFonts w:eastAsia="Times New Roman"/>
                <w:b w:val="0"/>
                <w:bCs w:val="0"/>
                <w:sz w:val="16"/>
                <w:lang w:eastAsia="ar-SA"/>
              </w:rPr>
            </w:pPr>
          </w:p>
          <w:p w:rsidR="00FE4495" w:rsidRPr="00FE4495" w:rsidRDefault="00FE4495" w:rsidP="00FE4495">
            <w:pPr>
              <w:pStyle w:val="SmallStyle"/>
              <w:numPr>
                <w:ilvl w:val="0"/>
                <w:numId w:val="2"/>
              </w:numPr>
              <w:rPr>
                <w:szCs w:val="32"/>
                <w:lang w:val="en-US" w:eastAsia="en-US" w:bidi="en-US"/>
              </w:rPr>
            </w:pPr>
            <w:r>
              <w:rPr>
                <w:sz w:val="22"/>
                <w:szCs w:val="22"/>
                <w:lang w:val="en-US" w:eastAsia="en-US" w:bidi="en-US"/>
              </w:rPr>
              <w:t>Government research spending</w:t>
            </w:r>
          </w:p>
          <w:p w:rsidR="00FE4495" w:rsidRPr="00FE4495" w:rsidRDefault="00FE4495" w:rsidP="00FE4495">
            <w:pPr>
              <w:pStyle w:val="SmallStyle"/>
              <w:numPr>
                <w:ilvl w:val="0"/>
                <w:numId w:val="2"/>
              </w:numPr>
              <w:rPr>
                <w:szCs w:val="32"/>
                <w:lang w:val="en-US" w:eastAsia="en-US" w:bidi="en-US"/>
              </w:rPr>
            </w:pPr>
            <w:r>
              <w:rPr>
                <w:sz w:val="22"/>
                <w:szCs w:val="22"/>
                <w:lang w:val="en-US" w:eastAsia="en-US" w:bidi="en-US"/>
              </w:rPr>
              <w:t>Industry focus on technological effort</w:t>
            </w:r>
          </w:p>
          <w:p w:rsidR="00FE4495" w:rsidRPr="00FE4495" w:rsidRDefault="00FE4495" w:rsidP="00FE4495">
            <w:pPr>
              <w:pStyle w:val="SmallStyle"/>
              <w:numPr>
                <w:ilvl w:val="0"/>
                <w:numId w:val="2"/>
              </w:numPr>
              <w:rPr>
                <w:szCs w:val="32"/>
                <w:lang w:val="en-US" w:eastAsia="en-US" w:bidi="en-US"/>
              </w:rPr>
            </w:pPr>
            <w:r>
              <w:rPr>
                <w:sz w:val="22"/>
                <w:szCs w:val="22"/>
                <w:lang w:val="en-US" w:eastAsia="en-US" w:bidi="en-US"/>
              </w:rPr>
              <w:t>New inventories and development</w:t>
            </w:r>
          </w:p>
          <w:p w:rsidR="00FE4495" w:rsidRPr="00FE4495" w:rsidRDefault="00FE4495" w:rsidP="00FE4495">
            <w:pPr>
              <w:pStyle w:val="SmallStyle"/>
              <w:numPr>
                <w:ilvl w:val="0"/>
                <w:numId w:val="2"/>
              </w:numPr>
              <w:rPr>
                <w:szCs w:val="32"/>
                <w:lang w:val="en-US" w:eastAsia="en-US" w:bidi="en-US"/>
              </w:rPr>
            </w:pPr>
            <w:r>
              <w:rPr>
                <w:sz w:val="22"/>
                <w:szCs w:val="22"/>
                <w:lang w:val="en-US" w:eastAsia="en-US" w:bidi="en-US"/>
              </w:rPr>
              <w:t>Rate of technology transfer</w:t>
            </w:r>
          </w:p>
          <w:p w:rsidR="00FE4495" w:rsidRPr="00FE4495" w:rsidRDefault="00FE4495" w:rsidP="00FE4495">
            <w:pPr>
              <w:pStyle w:val="SmallStyle"/>
              <w:numPr>
                <w:ilvl w:val="0"/>
                <w:numId w:val="2"/>
              </w:numPr>
              <w:rPr>
                <w:szCs w:val="32"/>
                <w:lang w:val="en-US" w:eastAsia="en-US" w:bidi="en-US"/>
              </w:rPr>
            </w:pPr>
            <w:r>
              <w:rPr>
                <w:sz w:val="22"/>
                <w:szCs w:val="22"/>
                <w:lang w:val="en-US" w:eastAsia="en-US" w:bidi="en-US"/>
              </w:rPr>
              <w:t>Life cycle and speed of technological obsolescence</w:t>
            </w:r>
          </w:p>
          <w:p w:rsidR="00FE4495" w:rsidRPr="00FE4495" w:rsidRDefault="00FE4495" w:rsidP="00FE4495">
            <w:pPr>
              <w:pStyle w:val="SmallStyle"/>
              <w:numPr>
                <w:ilvl w:val="0"/>
                <w:numId w:val="2"/>
              </w:numPr>
              <w:rPr>
                <w:szCs w:val="32"/>
                <w:lang w:val="en-US" w:eastAsia="en-US" w:bidi="en-US"/>
              </w:rPr>
            </w:pPr>
            <w:r>
              <w:rPr>
                <w:sz w:val="22"/>
                <w:szCs w:val="22"/>
                <w:lang w:val="en-US" w:eastAsia="en-US" w:bidi="en-US"/>
              </w:rPr>
              <w:t>Energy use and costs</w:t>
            </w:r>
          </w:p>
          <w:p w:rsidR="00FE4495" w:rsidRPr="00FE4495" w:rsidRDefault="00FE4495" w:rsidP="00FE4495">
            <w:pPr>
              <w:pStyle w:val="SmallStyle"/>
              <w:numPr>
                <w:ilvl w:val="0"/>
                <w:numId w:val="2"/>
              </w:numPr>
              <w:rPr>
                <w:szCs w:val="32"/>
                <w:lang w:val="en-US" w:eastAsia="en-US" w:bidi="en-US"/>
              </w:rPr>
            </w:pPr>
            <w:r>
              <w:rPr>
                <w:sz w:val="22"/>
                <w:szCs w:val="22"/>
                <w:lang w:val="en-US" w:eastAsia="en-US" w:bidi="en-US"/>
              </w:rPr>
              <w:t>(Changes in) Information Technology</w:t>
            </w:r>
          </w:p>
          <w:p w:rsidR="00FE4495" w:rsidRPr="00FE4495" w:rsidRDefault="00FE4495" w:rsidP="00FE4495">
            <w:pPr>
              <w:pStyle w:val="SmallStyle"/>
              <w:numPr>
                <w:ilvl w:val="0"/>
                <w:numId w:val="2"/>
              </w:numPr>
              <w:rPr>
                <w:szCs w:val="32"/>
                <w:lang w:val="en-US" w:eastAsia="en-US" w:bidi="en-US"/>
              </w:rPr>
            </w:pPr>
            <w:r>
              <w:rPr>
                <w:sz w:val="22"/>
                <w:szCs w:val="22"/>
                <w:lang w:val="en-US" w:eastAsia="en-US" w:bidi="en-US"/>
              </w:rPr>
              <w:t>(Changes in) Internet</w:t>
            </w:r>
          </w:p>
          <w:p w:rsidR="00FE4495" w:rsidRPr="00FE4495" w:rsidRDefault="00FE4495" w:rsidP="00FE4495">
            <w:pPr>
              <w:pStyle w:val="SmallStyle"/>
              <w:numPr>
                <w:ilvl w:val="0"/>
                <w:numId w:val="2"/>
              </w:numPr>
              <w:rPr>
                <w:szCs w:val="32"/>
                <w:lang w:val="en-US" w:eastAsia="en-US" w:bidi="en-US"/>
              </w:rPr>
            </w:pPr>
            <w:r w:rsidRPr="00FE4495">
              <w:rPr>
                <w:sz w:val="22"/>
                <w:szCs w:val="22"/>
                <w:lang w:val="en-US" w:eastAsia="en-US" w:bidi="en-US"/>
              </w:rPr>
              <w:t>(Changes in) Mobility Technology</w:t>
            </w:r>
          </w:p>
          <w:p w:rsidR="004E60C4" w:rsidRDefault="004E60C4" w:rsidP="004951FD">
            <w:pPr>
              <w:pStyle w:val="SmallStyle"/>
              <w:ind w:left="125"/>
              <w:rPr>
                <w:szCs w:val="32"/>
                <w:lang w:val="en-US" w:eastAsia="en-US" w:bidi="en-US"/>
              </w:rPr>
            </w:pPr>
          </w:p>
        </w:tc>
      </w:tr>
    </w:tbl>
    <w:p w:rsidR="004E60C4" w:rsidRDefault="004E60C4"/>
    <w:p w:rsidR="004E60C4" w:rsidRDefault="004E60C4" w:rsidP="00FE4495">
      <w:pPr>
        <w:pStyle w:val="SmallStyle"/>
        <w:ind w:left="-630"/>
      </w:pPr>
      <w:r>
        <w:rPr>
          <w:sz w:val="20"/>
          <w:szCs w:val="20"/>
          <w:lang w:val="en-US" w:eastAsia="en-US" w:bidi="en-US"/>
        </w:rPr>
        <w:t xml:space="preserve">Note: PEST analysis can be useful before SWOT analysis because PEST helps to identify SWOT factors. PEST and SWOT are two different perspectives but can contain common factors.  SWOT stands for strengths, weaknesses, opportunities, threats. </w:t>
      </w:r>
    </w:p>
    <w:sectPr w:rsidR="004E60C4" w:rsidSect="00FE4495">
      <w:pgSz w:w="16837" w:h="11905" w:orient="landscape"/>
      <w:pgMar w:top="450" w:right="1134" w:bottom="720"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2C21D30"/>
    <w:multiLevelType w:val="hybridMultilevel"/>
    <w:tmpl w:val="1C30A4A0"/>
    <w:lvl w:ilvl="0" w:tplc="FE0E200E">
      <w:start w:val="1"/>
      <w:numFmt w:val="bullet"/>
      <w:lvlText w:val=""/>
      <w:lvlJc w:val="left"/>
      <w:pPr>
        <w:ind w:left="504" w:hanging="360"/>
      </w:pPr>
      <w:rPr>
        <w:rFonts w:ascii="Wingdings" w:hAnsi="Wingdings" w:hint="default"/>
        <w:b w:val="0"/>
        <w:color w:val="17365D"/>
        <w:sz w:val="20"/>
        <w:szCs w:val="2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embedSystemFonts/>
  <w:proofState w:spelling="clean" w:grammar="clean"/>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9E226B"/>
    <w:rsid w:val="000844C9"/>
    <w:rsid w:val="004951FD"/>
    <w:rsid w:val="004E60C4"/>
    <w:rsid w:val="00820F93"/>
    <w:rsid w:val="00980CCB"/>
    <w:rsid w:val="009E226B"/>
    <w:rsid w:val="00FE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2">
    <w:name w:val="heading 2"/>
    <w:basedOn w:val="Normal"/>
    <w:next w:val="BodyText"/>
    <w:qFormat/>
    <w:pPr>
      <w:numPr>
        <w:ilvl w:val="1"/>
        <w:numId w:val="1"/>
      </w:numPr>
      <w:spacing w:before="280" w:after="280"/>
      <w:ind w:left="0" w:firstLine="0"/>
      <w:outlineLvl w:val="1"/>
    </w:pPr>
    <w:rPr>
      <w:b/>
      <w:bCs/>
      <w:sz w:val="36"/>
      <w:szCs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mallStyle">
    <w:name w:val="SmallStyle"/>
    <w:basedOn w:val="Normal"/>
    <w:rPr>
      <w:rFonts w:ascii="Tahoma" w:eastAsia="Times New Roman" w:hAnsi="Tahoma"/>
      <w:sz w:val="16"/>
      <w:lang w:eastAsia="ar-SA"/>
    </w:rPr>
  </w:style>
  <w:style w:type="paragraph" w:customStyle="1" w:styleId="TableContents">
    <w:name w:val="Table Contents"/>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JM Family Enterprises</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iuwocha</dc:creator>
  <cp:lastModifiedBy>iuwocha</cp:lastModifiedBy>
  <cp:revision>2</cp:revision>
  <cp:lastPrinted>1601-01-01T00:00:00Z</cp:lastPrinted>
  <dcterms:created xsi:type="dcterms:W3CDTF">2016-02-04T14:44:00Z</dcterms:created>
  <dcterms:modified xsi:type="dcterms:W3CDTF">2016-02-04T14:44:00Z</dcterms:modified>
</cp:coreProperties>
</file>